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jc w:val="left"/>
        <w:rPr>
          <w:rFonts w:ascii="Times New Roman" w:hAnsi="Times New Roman" w:cs="Times New Roman"/>
          <w:sz w:val="24"/>
          <w:szCs w:val="24"/>
          <w:highlight w:val="yellow"/>
        </w:rPr>
      </w:pPr>
      <w:r>
        <w:rPr>
          <w:rFonts w:hint="default" w:ascii="Times New Roman" w:hAnsi="Times New Roman" w:cs="Times New Roman"/>
          <w:sz w:val="24"/>
          <w:szCs w:val="24"/>
        </w:rPr>
        <w:t>证券代码：688165          证券简称：埃夫特        公告编号：</w:t>
      </w:r>
      <w:r>
        <w:rPr>
          <w:rFonts w:ascii="Times New Roman" w:hAnsi="Times New Roman" w:cs="Times New Roman"/>
          <w:sz w:val="24"/>
          <w:szCs w:val="24"/>
          <w:highlight w:val="none"/>
        </w:rPr>
        <w:t>2022-</w:t>
      </w:r>
      <w:r>
        <w:rPr>
          <w:rFonts w:hint="default" w:ascii="Times New Roman" w:hAnsi="Times New Roman" w:cs="Times New Roman"/>
          <w:sz w:val="24"/>
          <w:szCs w:val="24"/>
          <w:highlight w:val="none"/>
          <w:lang w:val="en-US" w:eastAsia="zh-CN"/>
        </w:rPr>
        <w:t>048</w:t>
      </w:r>
    </w:p>
    <w:p>
      <w:pPr>
        <w:adjustRightInd w:val="0"/>
        <w:snapToGrid w:val="0"/>
        <w:spacing w:line="360" w:lineRule="auto"/>
        <w:ind w:firstLine="480" w:firstLineChars="200"/>
        <w:jc w:val="left"/>
        <w:rPr>
          <w:rFonts w:ascii="Times New Roman" w:hAnsi="Times New Roman" w:cs="Times New Roman"/>
          <w:sz w:val="24"/>
          <w:szCs w:val="24"/>
        </w:rPr>
      </w:pPr>
    </w:p>
    <w:p>
      <w:pPr>
        <w:snapToGrid w:val="0"/>
        <w:spacing w:before="156" w:beforeLines="50" w:line="600" w:lineRule="exact"/>
        <w:jc w:val="center"/>
        <w:rPr>
          <w:rFonts w:ascii="Times New Roman" w:hAnsi="Times New Roman" w:eastAsia="黑体" w:cs="Times New Roman"/>
          <w:b/>
          <w:color w:val="FF0000"/>
          <w:sz w:val="36"/>
          <w:szCs w:val="36"/>
        </w:rPr>
      </w:pPr>
      <w:r>
        <w:rPr>
          <w:rFonts w:hint="default" w:ascii="Times New Roman" w:hAnsi="Times New Roman" w:eastAsia="黑体" w:cs="Times New Roman"/>
          <w:b/>
          <w:color w:val="FF0000"/>
          <w:sz w:val="36"/>
          <w:szCs w:val="36"/>
        </w:rPr>
        <w:t>埃夫特智能装备股份有限公司</w:t>
      </w:r>
    </w:p>
    <w:p>
      <w:pPr>
        <w:snapToGrid w:val="0"/>
        <w:spacing w:before="156" w:beforeLines="50" w:line="600" w:lineRule="exact"/>
        <w:jc w:val="center"/>
        <w:rPr>
          <w:rFonts w:ascii="Times New Roman" w:hAnsi="Times New Roman" w:cs="Times New Roman"/>
          <w:b/>
          <w:color w:val="000000"/>
          <w:sz w:val="36"/>
          <w:szCs w:val="36"/>
        </w:rPr>
      </w:pPr>
      <w:r>
        <w:rPr>
          <w:rFonts w:hint="default" w:ascii="Times New Roman" w:hAnsi="Times New Roman" w:eastAsia="黑体" w:cs="Times New Roman"/>
          <w:b/>
          <w:color w:val="FF0000"/>
          <w:sz w:val="36"/>
          <w:szCs w:val="36"/>
        </w:rPr>
        <w:t>第二届监事会第二十次会议决议公告</w:t>
      </w:r>
    </w:p>
    <w:p>
      <w:pPr>
        <w:adjustRightInd w:val="0"/>
        <w:snapToGrid w:val="0"/>
        <w:spacing w:line="360" w:lineRule="auto"/>
        <w:rPr>
          <w:rFonts w:ascii="Times New Roman" w:hAnsi="Times New Roman" w:cs="Times New Roman"/>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7"/>
              <w:pBdr>
                <w:top w:val="none" w:color="000000" w:sz="0" w:space="1"/>
                <w:left w:val="none" w:color="000000" w:sz="0" w:space="4"/>
                <w:bottom w:val="none" w:color="000000" w:sz="0" w:space="1"/>
                <w:right w:val="none" w:color="000000" w:sz="0" w:space="4"/>
              </w:pBdr>
              <w:snapToGrid w:val="0"/>
              <w:spacing w:line="360" w:lineRule="auto"/>
              <w:ind w:firstLine="420"/>
              <w:rPr>
                <w:rFonts w:ascii="Times New Roman" w:hAnsi="Times New Roman" w:cs="Times New Roman"/>
                <w:color w:val="000000"/>
              </w:rPr>
            </w:pPr>
            <w:r>
              <w:rPr>
                <w:rFonts w:hint="default" w:ascii="Times New Roman" w:hAnsi="Times New Roman" w:cs="Times New Roman"/>
                <w:color w:val="000000"/>
              </w:rPr>
              <w:t>本公司监事会及全体监事保证本公告内容不存在任何虚假记载、误导性陈述或者重大遗漏，并对其内容的真实性、准确性和完整性依法承担法律责任。</w:t>
            </w:r>
          </w:p>
        </w:tc>
      </w:tr>
    </w:tbl>
    <w:p>
      <w:pPr>
        <w:pStyle w:val="17"/>
        <w:spacing w:line="360" w:lineRule="auto"/>
        <w:ind w:firstLine="480" w:firstLineChars="200"/>
        <w:rPr>
          <w:rFonts w:ascii="Times New Roman" w:hAnsi="Times New Roman" w:cs="Times New Roman"/>
        </w:rPr>
      </w:pPr>
    </w:p>
    <w:p>
      <w:pPr>
        <w:pStyle w:val="17"/>
        <w:snapToGrid w:val="0"/>
        <w:spacing w:line="360" w:lineRule="auto"/>
        <w:ind w:firstLine="482" w:firstLineChars="200"/>
        <w:rPr>
          <w:rFonts w:ascii="Times New Roman" w:hAnsi="Times New Roman" w:cs="Times New Roman"/>
          <w:b/>
          <w:bCs/>
          <w:color w:val="000000"/>
        </w:rPr>
      </w:pPr>
      <w:r>
        <w:rPr>
          <w:rFonts w:hint="default" w:ascii="Times New Roman" w:hAnsi="Times New Roman" w:cs="Times New Roman"/>
          <w:b/>
          <w:bCs/>
          <w:color w:val="000000"/>
        </w:rPr>
        <w:t>一、监事会会议召开情况</w:t>
      </w:r>
    </w:p>
    <w:p>
      <w:pPr>
        <w:pStyle w:val="17"/>
        <w:snapToGrid w:val="0"/>
        <w:spacing w:line="360" w:lineRule="auto"/>
        <w:ind w:firstLine="480" w:firstLineChars="200"/>
        <w:rPr>
          <w:rFonts w:ascii="Times New Roman" w:hAnsi="Times New Roman" w:cs="Times New Roman"/>
          <w:color w:val="000000"/>
        </w:rPr>
      </w:pPr>
      <w:r>
        <w:rPr>
          <w:rFonts w:hint="default" w:ascii="Times New Roman" w:hAnsi="Times New Roman" w:cs="Times New Roman"/>
          <w:color w:val="000000"/>
        </w:rPr>
        <w:t>埃夫特智能装备股份有限公司（以下简称“公司”）第二届监事会第二十次会议于</w:t>
      </w:r>
      <w:r>
        <w:rPr>
          <w:rFonts w:ascii="Times New Roman" w:hAnsi="Times New Roman" w:cs="Times New Roman"/>
          <w:color w:val="000000"/>
        </w:rPr>
        <w:t>2022</w:t>
      </w:r>
      <w:r>
        <w:rPr>
          <w:rFonts w:hint="default" w:ascii="Times New Roman" w:hAnsi="Times New Roman" w:cs="Times New Roman"/>
          <w:color w:val="000000"/>
        </w:rPr>
        <w:t>年9</w:t>
      </w:r>
      <w:r>
        <w:rPr>
          <w:rFonts w:ascii="Times New Roman" w:hAnsi="Times New Roman" w:cs="Times New Roman"/>
          <w:color w:val="000000"/>
        </w:rPr>
        <w:t>月2</w:t>
      </w:r>
      <w:r>
        <w:rPr>
          <w:rFonts w:hint="default" w:ascii="Times New Roman" w:hAnsi="Times New Roman" w:cs="Times New Roman"/>
          <w:color w:val="000000"/>
        </w:rPr>
        <w:t>9</w:t>
      </w:r>
      <w:r>
        <w:rPr>
          <w:rFonts w:ascii="Times New Roman" w:hAnsi="Times New Roman" w:cs="Times New Roman"/>
          <w:color w:val="000000"/>
        </w:rPr>
        <w:t>日（星</w:t>
      </w:r>
      <w:r>
        <w:rPr>
          <w:rFonts w:hint="default" w:ascii="Times New Roman" w:hAnsi="Times New Roman" w:cs="Times New Roman"/>
          <w:color w:val="000000"/>
        </w:rPr>
        <w:t>期四）在公司会议室以现场结合通讯的方式召开。会议通知已于2</w:t>
      </w:r>
      <w:r>
        <w:rPr>
          <w:rFonts w:ascii="Times New Roman" w:hAnsi="Times New Roman" w:cs="Times New Roman"/>
          <w:color w:val="000000"/>
        </w:rPr>
        <w:t>022</w:t>
      </w:r>
      <w:r>
        <w:rPr>
          <w:rFonts w:hint="default" w:ascii="Times New Roman" w:hAnsi="Times New Roman" w:cs="Times New Roman"/>
          <w:color w:val="000000"/>
        </w:rPr>
        <w:t>年9月27日通过邮件的方式送达各位监事。本次会议应出席监事5人，</w:t>
      </w:r>
      <w:bookmarkStart w:id="0" w:name="_GoBack"/>
      <w:r>
        <w:rPr>
          <w:rFonts w:hint="default" w:ascii="Times New Roman" w:hAnsi="Times New Roman" w:cs="Times New Roman"/>
          <w:color w:val="000000"/>
        </w:rPr>
        <w:t>实际出席监事4人，监事Fabrizio Ceresa因公请假。</w:t>
      </w:r>
      <w:bookmarkEnd w:id="0"/>
      <w:r>
        <w:rPr>
          <w:rFonts w:hint="default" w:ascii="Times New Roman" w:hAnsi="Times New Roman" w:cs="Times New Roman"/>
          <w:color w:val="000000"/>
        </w:rPr>
        <w:t>本次会议由监事会主席肖永强先生主持。</w:t>
      </w:r>
    </w:p>
    <w:p>
      <w:pPr>
        <w:pStyle w:val="17"/>
        <w:snapToGrid w:val="0"/>
        <w:spacing w:line="360" w:lineRule="auto"/>
        <w:ind w:firstLine="480" w:firstLineChars="200"/>
        <w:rPr>
          <w:rFonts w:hint="default" w:ascii="Times New Roman" w:hAnsi="Times New Roman" w:cs="Times New Roman"/>
          <w:color w:val="000000"/>
        </w:rPr>
      </w:pPr>
      <w:r>
        <w:rPr>
          <w:rFonts w:hint="default" w:ascii="Times New Roman" w:hAnsi="Times New Roman" w:cs="Times New Roman"/>
          <w:color w:val="000000"/>
        </w:rPr>
        <w:t>本次会议的召集、召开符合法律法规、《埃夫特智能装备股份有限公司章程》及《埃夫特智能装备股份有限公司监事会议事规则》的规定。</w:t>
      </w:r>
    </w:p>
    <w:p>
      <w:pPr>
        <w:pStyle w:val="17"/>
        <w:snapToGrid w:val="0"/>
        <w:spacing w:line="360" w:lineRule="auto"/>
        <w:ind w:firstLine="480" w:firstLineChars="200"/>
        <w:rPr>
          <w:rFonts w:hint="default" w:ascii="Times New Roman" w:hAnsi="Times New Roman" w:cs="Times New Roman"/>
          <w:color w:val="000000"/>
        </w:rPr>
      </w:pPr>
    </w:p>
    <w:p>
      <w:pPr>
        <w:pStyle w:val="17"/>
        <w:snapToGrid w:val="0"/>
        <w:spacing w:line="360" w:lineRule="auto"/>
        <w:ind w:firstLine="482" w:firstLineChars="200"/>
        <w:rPr>
          <w:rFonts w:ascii="Times New Roman" w:hAnsi="Times New Roman" w:cs="Times New Roman"/>
          <w:color w:val="000000"/>
          <w:sz w:val="22"/>
          <w:szCs w:val="22"/>
        </w:rPr>
      </w:pPr>
      <w:r>
        <w:rPr>
          <w:rFonts w:hint="default" w:ascii="Times New Roman" w:hAnsi="Times New Roman" w:cs="Times New Roman"/>
          <w:b/>
          <w:bCs/>
          <w:color w:val="000000"/>
        </w:rPr>
        <w:t>二、监事会会议审议情况</w:t>
      </w:r>
    </w:p>
    <w:p>
      <w:pPr>
        <w:pStyle w:val="17"/>
        <w:snapToGrid w:val="0"/>
        <w:spacing w:line="360" w:lineRule="auto"/>
        <w:ind w:firstLine="480" w:firstLineChars="200"/>
        <w:rPr>
          <w:rFonts w:ascii="Times New Roman" w:hAnsi="Times New Roman" w:cs="Times New Roman"/>
          <w:color w:val="000000"/>
        </w:rPr>
      </w:pPr>
      <w:r>
        <w:rPr>
          <w:rFonts w:hint="default" w:ascii="Times New Roman" w:hAnsi="Times New Roman" w:cs="Times New Roman"/>
          <w:color w:val="000000"/>
        </w:rPr>
        <w:t>监事会审议通过了下列议案：</w:t>
      </w:r>
    </w:p>
    <w:p>
      <w:pPr>
        <w:pStyle w:val="8"/>
        <w:tabs>
          <w:tab w:val="left" w:pos="435"/>
          <w:tab w:val="clear" w:pos="916"/>
        </w:tabs>
        <w:spacing w:before="156" w:beforeLines="50" w:line="360" w:lineRule="auto"/>
        <w:ind w:firstLine="482" w:firstLineChars="200"/>
        <w:rPr>
          <w:rFonts w:ascii="Times New Roman" w:hAnsi="Times New Roman" w:cs="Times New Roman"/>
          <w:b/>
          <w:color w:val="000000"/>
          <w:kern w:val="2"/>
        </w:rPr>
      </w:pPr>
      <w:r>
        <w:rPr>
          <w:rFonts w:hint="default" w:ascii="Times New Roman" w:hAnsi="Times New Roman" w:cs="Times New Roman"/>
          <w:b/>
          <w:color w:val="000000"/>
          <w:kern w:val="2"/>
        </w:rPr>
        <w:t>（一）</w:t>
      </w:r>
      <w:r>
        <w:rPr>
          <w:rFonts w:hint="default" w:ascii="Times New Roman" w:hAnsi="Times New Roman" w:cs="Times New Roman"/>
          <w:b/>
          <w:bCs/>
          <w:color w:val="000000"/>
          <w:kern w:val="0"/>
        </w:rPr>
        <w:t>《</w:t>
      </w:r>
      <w:r>
        <w:rPr>
          <w:rFonts w:hint="default" w:ascii="Times New Roman" w:hAnsi="Times New Roman" w:cs="Times New Roman"/>
          <w:b/>
          <w:bCs/>
          <w:color w:val="000000"/>
        </w:rPr>
        <w:t>关于作废部分已授予但尚未归属的限制性股票的议案</w:t>
      </w:r>
      <w:r>
        <w:rPr>
          <w:rFonts w:hint="default" w:ascii="Times New Roman" w:hAnsi="Times New Roman" w:cs="Times New Roman"/>
          <w:b/>
          <w:bCs/>
          <w:color w:val="000000"/>
          <w:kern w:val="0"/>
        </w:rPr>
        <w:t>》</w:t>
      </w:r>
    </w:p>
    <w:p>
      <w:pPr>
        <w:pStyle w:val="8"/>
        <w:tabs>
          <w:tab w:val="left" w:pos="435"/>
          <w:tab w:val="clear" w:pos="916"/>
        </w:tabs>
        <w:spacing w:line="360" w:lineRule="auto"/>
        <w:ind w:firstLine="480" w:firstLineChars="200"/>
        <w:rPr>
          <w:rFonts w:hint="default" w:ascii="Times New Roman" w:hAnsi="Times New Roman" w:cs="Times New Roman"/>
        </w:rPr>
      </w:pPr>
      <w:r>
        <w:rPr>
          <w:rFonts w:hint="default" w:ascii="Times New Roman" w:hAnsi="Times New Roman" w:cs="Times New Roman"/>
          <w:color w:val="000000"/>
          <w:kern w:val="2"/>
        </w:rPr>
        <w:t>监事会认为：公司作废2021年限制性股票激励计划部分已授予但尚未归属的第二类限制性股票，符合《上市公司股权激励管理办法》等法律、法规和规范性文件及公司2021年限制性股票激励计划的相关规定，相关事项的审议和表决程序符合《公司法》《证券法》《上市公司股权激励管理办法》及公司2021年限制性股票激励计划等的规定，不存在损害公司及股东利益的情形。因此，公司监事会同意公司此次作废部分已授予尚未归属的第二类限制性股票</w:t>
      </w:r>
      <w:r>
        <w:rPr>
          <w:rFonts w:hint="default" w:ascii="Times New Roman" w:hAnsi="Times New Roman" w:cs="Times New Roman"/>
        </w:rPr>
        <w:t>。</w:t>
      </w:r>
    </w:p>
    <w:p>
      <w:pPr>
        <w:pStyle w:val="17"/>
        <w:snapToGrid w:val="0"/>
        <w:spacing w:line="360" w:lineRule="auto"/>
        <w:ind w:firstLine="480" w:firstLineChars="200"/>
        <w:rPr>
          <w:rFonts w:ascii="Times New Roman" w:hAnsi="Times New Roman" w:cs="Times New Roman"/>
          <w:color w:val="000000"/>
        </w:rPr>
      </w:pPr>
      <w:r>
        <w:rPr>
          <w:rFonts w:ascii="Times New Roman" w:hAnsi="Times New Roman" w:cs="Times New Roman"/>
          <w:color w:val="000000"/>
        </w:rPr>
        <w:t>议案表决情况：有效表决票</w:t>
      </w:r>
      <w:r>
        <w:rPr>
          <w:rFonts w:hint="eastAsia" w:ascii="Times New Roman" w:hAnsi="Times New Roman" w:cs="Times New Roman"/>
          <w:color w:val="000000"/>
          <w:lang w:val="en-US" w:eastAsia="zh-CN"/>
        </w:rPr>
        <w:t>4</w:t>
      </w:r>
      <w:r>
        <w:rPr>
          <w:rFonts w:ascii="Times New Roman" w:hAnsi="Times New Roman" w:cs="Times New Roman"/>
          <w:color w:val="000000"/>
        </w:rPr>
        <w:t>票，同意</w:t>
      </w:r>
      <w:r>
        <w:rPr>
          <w:rFonts w:hint="eastAsia" w:ascii="Times New Roman" w:hAnsi="Times New Roman" w:cs="Times New Roman"/>
          <w:color w:val="000000"/>
          <w:lang w:val="en-US" w:eastAsia="zh-CN"/>
        </w:rPr>
        <w:t>4</w:t>
      </w:r>
      <w:r>
        <w:rPr>
          <w:rFonts w:ascii="Times New Roman" w:hAnsi="Times New Roman" w:cs="Times New Roman"/>
          <w:color w:val="000000"/>
        </w:rPr>
        <w:t>票；反对0票；弃权0票。</w:t>
      </w:r>
    </w:p>
    <w:p>
      <w:pPr>
        <w:pStyle w:val="17"/>
        <w:snapToGrid w:val="0"/>
        <w:spacing w:line="360" w:lineRule="auto"/>
        <w:ind w:firstLine="480" w:firstLineChars="200"/>
        <w:rPr>
          <w:rFonts w:ascii="Times New Roman" w:hAnsi="Times New Roman" w:cs="Times New Roman"/>
          <w:color w:val="000000"/>
        </w:rPr>
      </w:pPr>
      <w:r>
        <w:rPr>
          <w:rFonts w:hint="default" w:ascii="Times New Roman" w:hAnsi="Times New Roman" w:cs="Times New Roman"/>
          <w:color w:val="000000"/>
        </w:rPr>
        <w:t>上述议案</w:t>
      </w:r>
      <w:r>
        <w:rPr>
          <w:rFonts w:ascii="Times New Roman" w:hAnsi="Times New Roman" w:cs="Times New Roman"/>
          <w:color w:val="000000"/>
        </w:rPr>
        <w:t>具体内容详见公司同日披露于上海证券交易所网站（www.sse.com.cn）的《埃夫特</w:t>
      </w:r>
      <w:r>
        <w:rPr>
          <w:rFonts w:hint="default" w:ascii="Times New Roman" w:hAnsi="Times New Roman" w:cs="Times New Roman"/>
          <w:color w:val="000000"/>
        </w:rPr>
        <w:t>智能装备股份有限公司关于作废部分已授予但尚未归属的限制性股票的公告</w:t>
      </w:r>
      <w:r>
        <w:rPr>
          <w:rFonts w:ascii="Times New Roman" w:hAnsi="Times New Roman" w:cs="Times New Roman"/>
          <w:color w:val="000000"/>
        </w:rPr>
        <w:t>》（公告编号：2022</w:t>
      </w:r>
      <w:r>
        <w:rPr>
          <w:rFonts w:ascii="Times New Roman" w:hAnsi="Times New Roman" w:eastAsia="宋体" w:cs="Times New Roman"/>
          <w:color w:val="000000"/>
        </w:rPr>
        <w:t>-</w:t>
      </w:r>
      <w:r>
        <w:rPr>
          <w:rFonts w:hint="default" w:ascii="Times New Roman" w:hAnsi="Times New Roman" w:eastAsia="宋体" w:cs="Times New Roman"/>
          <w:color w:val="000000"/>
          <w:kern w:val="0"/>
          <w:lang w:val="en-US" w:eastAsia="zh-CN"/>
        </w:rPr>
        <w:t>0</w:t>
      </w:r>
      <w:r>
        <w:rPr>
          <w:rFonts w:hint="default" w:ascii="Times New Roman" w:hAnsi="Times New Roman" w:cs="Times New Roman"/>
          <w:color w:val="000000"/>
          <w:kern w:val="0"/>
          <w:lang w:val="en-US" w:eastAsia="zh-CN"/>
        </w:rPr>
        <w:t>49</w:t>
      </w:r>
      <w:r>
        <w:rPr>
          <w:rFonts w:ascii="Times New Roman" w:hAnsi="Times New Roman" w:cs="Times New Roman"/>
          <w:color w:val="000000"/>
        </w:rPr>
        <w:t>）。</w:t>
      </w: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r>
        <w:rPr>
          <w:rFonts w:hint="default" w:ascii="Times New Roman" w:hAnsi="Times New Roman" w:cs="Times New Roman"/>
          <w:sz w:val="24"/>
        </w:rPr>
        <w:t>特此公告。</w:t>
      </w:r>
    </w:p>
    <w:p>
      <w:pPr>
        <w:pStyle w:val="17"/>
        <w:snapToGrid w:val="0"/>
        <w:spacing w:line="360" w:lineRule="auto"/>
        <w:ind w:firstLine="420"/>
        <w:jc w:val="right"/>
        <w:rPr>
          <w:rFonts w:ascii="Times New Roman" w:hAnsi="Times New Roman" w:cs="Times New Roman"/>
          <w:color w:val="000000"/>
        </w:rPr>
      </w:pPr>
    </w:p>
    <w:p>
      <w:pPr>
        <w:pStyle w:val="17"/>
        <w:snapToGrid w:val="0"/>
        <w:spacing w:line="360" w:lineRule="auto"/>
        <w:ind w:firstLine="420"/>
        <w:jc w:val="right"/>
        <w:rPr>
          <w:rFonts w:ascii="Times New Roman" w:hAnsi="Times New Roman" w:cs="Times New Roman"/>
          <w:color w:val="000000"/>
        </w:rPr>
      </w:pPr>
    </w:p>
    <w:p>
      <w:pPr>
        <w:pStyle w:val="17"/>
        <w:snapToGrid w:val="0"/>
        <w:spacing w:line="360" w:lineRule="auto"/>
        <w:ind w:firstLine="420"/>
        <w:jc w:val="right"/>
        <w:rPr>
          <w:rFonts w:ascii="Times New Roman" w:hAnsi="Times New Roman" w:cs="Times New Roman"/>
          <w:color w:val="000000"/>
        </w:rPr>
      </w:pPr>
    </w:p>
    <w:p>
      <w:pPr>
        <w:pStyle w:val="17"/>
        <w:snapToGrid w:val="0"/>
        <w:spacing w:line="360" w:lineRule="auto"/>
        <w:ind w:firstLine="420"/>
        <w:jc w:val="right"/>
        <w:rPr>
          <w:rFonts w:ascii="Times New Roman" w:hAnsi="Times New Roman" w:cs="Times New Roman"/>
          <w:color w:val="000000"/>
        </w:rPr>
      </w:pPr>
      <w:r>
        <w:rPr>
          <w:rFonts w:hint="default" w:ascii="Times New Roman" w:hAnsi="Times New Roman" w:cs="Times New Roman"/>
          <w:color w:val="000000"/>
        </w:rPr>
        <w:t>埃夫特智能装备股份有限公司监事会</w:t>
      </w:r>
    </w:p>
    <w:p>
      <w:pPr>
        <w:pStyle w:val="17"/>
        <w:snapToGrid w:val="0"/>
        <w:spacing w:line="360" w:lineRule="auto"/>
        <w:ind w:firstLine="420"/>
        <w:jc w:val="right"/>
        <w:rPr>
          <w:rFonts w:ascii="Times New Roman" w:hAnsi="Times New Roman" w:cs="Times New Roman"/>
          <w:color w:val="000000"/>
        </w:rPr>
      </w:pPr>
      <w:r>
        <w:rPr>
          <w:rFonts w:hint="default" w:ascii="Times New Roman" w:hAnsi="Times New Roman" w:cs="Times New Roman"/>
          <w:color w:val="000000"/>
        </w:rPr>
        <w:t>202</w:t>
      </w:r>
      <w:r>
        <w:rPr>
          <w:rFonts w:ascii="Times New Roman" w:hAnsi="Times New Roman" w:cs="Times New Roman"/>
          <w:color w:val="000000"/>
        </w:rPr>
        <w:t>2年</w:t>
      </w:r>
      <w:r>
        <w:rPr>
          <w:rFonts w:hint="default" w:ascii="Times New Roman" w:hAnsi="Times New Roman" w:cs="Times New Roman"/>
          <w:color w:val="000000"/>
        </w:rPr>
        <w:t>10</w:t>
      </w:r>
      <w:r>
        <w:rPr>
          <w:rFonts w:ascii="Times New Roman" w:hAnsi="Times New Roman" w:cs="Times New Roman"/>
          <w:color w:val="000000"/>
        </w:rPr>
        <w:t>月</w:t>
      </w:r>
      <w:r>
        <w:rPr>
          <w:rFonts w:hint="default" w:ascii="Times New Roman" w:hAnsi="Times New Roman" w:cs="Times New Roman"/>
          <w:color w:val="000000"/>
          <w:lang w:val="en-US" w:eastAsia="zh-CN"/>
        </w:rPr>
        <w:t>10</w:t>
      </w:r>
      <w:r>
        <w:rPr>
          <w:rFonts w:hint="default" w:ascii="Times New Roman" w:hAnsi="Times New Roman" w:cs="Times New Roman"/>
          <w:color w:val="000000"/>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lNGE2NmIwM2YxYWExNGNjNjZkMGZkNjMxNDIyZjIifQ=="/>
  </w:docVars>
  <w:rsids>
    <w:rsidRoot w:val="00172A27"/>
    <w:rsid w:val="00027D15"/>
    <w:rsid w:val="0004327C"/>
    <w:rsid w:val="00063299"/>
    <w:rsid w:val="0007209B"/>
    <w:rsid w:val="000924A1"/>
    <w:rsid w:val="000A3B93"/>
    <w:rsid w:val="000E303F"/>
    <w:rsid w:val="000F2141"/>
    <w:rsid w:val="000F5951"/>
    <w:rsid w:val="00124544"/>
    <w:rsid w:val="00146447"/>
    <w:rsid w:val="001632EE"/>
    <w:rsid w:val="00163B88"/>
    <w:rsid w:val="001659D0"/>
    <w:rsid w:val="0017298A"/>
    <w:rsid w:val="00172A27"/>
    <w:rsid w:val="001B71DD"/>
    <w:rsid w:val="002659B2"/>
    <w:rsid w:val="002A2BF1"/>
    <w:rsid w:val="002A69DE"/>
    <w:rsid w:val="002B4457"/>
    <w:rsid w:val="002C000F"/>
    <w:rsid w:val="00385FD7"/>
    <w:rsid w:val="003A34A2"/>
    <w:rsid w:val="003E22DE"/>
    <w:rsid w:val="003F1848"/>
    <w:rsid w:val="003F2A5B"/>
    <w:rsid w:val="00425B48"/>
    <w:rsid w:val="004903E6"/>
    <w:rsid w:val="00497BC7"/>
    <w:rsid w:val="004A4514"/>
    <w:rsid w:val="004C096A"/>
    <w:rsid w:val="004C3009"/>
    <w:rsid w:val="004C3681"/>
    <w:rsid w:val="004C3DA5"/>
    <w:rsid w:val="004D2DE8"/>
    <w:rsid w:val="00520B4A"/>
    <w:rsid w:val="005C7DB1"/>
    <w:rsid w:val="005D426B"/>
    <w:rsid w:val="005E10B3"/>
    <w:rsid w:val="005F2066"/>
    <w:rsid w:val="00610E74"/>
    <w:rsid w:val="006270ED"/>
    <w:rsid w:val="00631CFB"/>
    <w:rsid w:val="006604A6"/>
    <w:rsid w:val="006C0DAA"/>
    <w:rsid w:val="006E19D4"/>
    <w:rsid w:val="00717E38"/>
    <w:rsid w:val="00735A2A"/>
    <w:rsid w:val="007B134D"/>
    <w:rsid w:val="007B280D"/>
    <w:rsid w:val="007F7F9B"/>
    <w:rsid w:val="0082560E"/>
    <w:rsid w:val="00867DE9"/>
    <w:rsid w:val="00871BA7"/>
    <w:rsid w:val="00876479"/>
    <w:rsid w:val="00885F50"/>
    <w:rsid w:val="008B2EE7"/>
    <w:rsid w:val="008C34A0"/>
    <w:rsid w:val="008F60BE"/>
    <w:rsid w:val="00912B5E"/>
    <w:rsid w:val="00931AEA"/>
    <w:rsid w:val="0093390E"/>
    <w:rsid w:val="0096120F"/>
    <w:rsid w:val="00980FFF"/>
    <w:rsid w:val="009B0C4A"/>
    <w:rsid w:val="009F2FD9"/>
    <w:rsid w:val="00A16A89"/>
    <w:rsid w:val="00A434DB"/>
    <w:rsid w:val="00A66E22"/>
    <w:rsid w:val="00AA0322"/>
    <w:rsid w:val="00AA44B2"/>
    <w:rsid w:val="00AB00A8"/>
    <w:rsid w:val="00B173F6"/>
    <w:rsid w:val="00B4794B"/>
    <w:rsid w:val="00B76564"/>
    <w:rsid w:val="00B82D96"/>
    <w:rsid w:val="00BD32C8"/>
    <w:rsid w:val="00BE547F"/>
    <w:rsid w:val="00BE5D99"/>
    <w:rsid w:val="00C3691A"/>
    <w:rsid w:val="00CD001B"/>
    <w:rsid w:val="00D0059E"/>
    <w:rsid w:val="00D05099"/>
    <w:rsid w:val="00D10348"/>
    <w:rsid w:val="00D53121"/>
    <w:rsid w:val="00D97FEA"/>
    <w:rsid w:val="00DA0391"/>
    <w:rsid w:val="00DA0CB8"/>
    <w:rsid w:val="00DD18FD"/>
    <w:rsid w:val="00E22EBA"/>
    <w:rsid w:val="00E42D9B"/>
    <w:rsid w:val="00E65CD8"/>
    <w:rsid w:val="00E942FA"/>
    <w:rsid w:val="00EB3F6A"/>
    <w:rsid w:val="00EB6092"/>
    <w:rsid w:val="00EC56A0"/>
    <w:rsid w:val="00F55C02"/>
    <w:rsid w:val="00F56901"/>
    <w:rsid w:val="00F85CE4"/>
    <w:rsid w:val="00FB6E7D"/>
    <w:rsid w:val="00FB74DB"/>
    <w:rsid w:val="066B1D04"/>
    <w:rsid w:val="0F232932"/>
    <w:rsid w:val="13DF1478"/>
    <w:rsid w:val="13ED34A2"/>
    <w:rsid w:val="15FC021F"/>
    <w:rsid w:val="173203D7"/>
    <w:rsid w:val="223E0225"/>
    <w:rsid w:val="289E1324"/>
    <w:rsid w:val="2AD81D18"/>
    <w:rsid w:val="2AFF043C"/>
    <w:rsid w:val="2B0025D9"/>
    <w:rsid w:val="30D922D7"/>
    <w:rsid w:val="32671F6A"/>
    <w:rsid w:val="33FE361A"/>
    <w:rsid w:val="38FA51C8"/>
    <w:rsid w:val="3E74162B"/>
    <w:rsid w:val="42C00412"/>
    <w:rsid w:val="44C74253"/>
    <w:rsid w:val="50DE3E14"/>
    <w:rsid w:val="50EF537E"/>
    <w:rsid w:val="543B3F53"/>
    <w:rsid w:val="5ADF25E5"/>
    <w:rsid w:val="5C875DC7"/>
    <w:rsid w:val="5D4A5346"/>
    <w:rsid w:val="628F0191"/>
    <w:rsid w:val="630D3A5D"/>
    <w:rsid w:val="634A6AC2"/>
    <w:rsid w:val="64964574"/>
    <w:rsid w:val="65AD66B4"/>
    <w:rsid w:val="685256CD"/>
    <w:rsid w:val="70E51C88"/>
    <w:rsid w:val="77E32E65"/>
    <w:rsid w:val="795F4C8C"/>
    <w:rsid w:val="79855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1"/>
    <w:pPr>
      <w:spacing w:before="66"/>
      <w:ind w:left="645"/>
      <w:outlineLvl w:val="0"/>
    </w:pPr>
    <w:rPr>
      <w:rFonts w:ascii="宋体" w:hAnsi="宋体" w:cs="宋体"/>
      <w:b/>
      <w:bCs/>
      <w:sz w:val="24"/>
      <w:szCs w:val="24"/>
      <w:lang w:val="zh-CN" w:bidi="zh-CN"/>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0"/>
    <w:pPr>
      <w:jc w:val="left"/>
    </w:pPr>
  </w:style>
  <w:style w:type="paragraph" w:styleId="4">
    <w:name w:val="Body Text"/>
    <w:basedOn w:val="1"/>
    <w:qFormat/>
    <w:uiPriority w:val="1"/>
    <w:rPr>
      <w:rFonts w:ascii="宋体" w:hAnsi="宋体" w:cs="宋体"/>
      <w:sz w:val="24"/>
      <w:szCs w:val="24"/>
      <w:lang w:val="zh-CN" w:bidi="zh-CN"/>
    </w:rPr>
  </w:style>
  <w:style w:type="paragraph" w:styleId="5">
    <w:name w:val="Balloon Text"/>
    <w:basedOn w:val="1"/>
    <w:link w:val="21"/>
    <w:semiHidden/>
    <w:unhideWhenUsed/>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Title"/>
    <w:basedOn w:val="1"/>
    <w:next w:val="1"/>
    <w:link w:val="16"/>
    <w:qFormat/>
    <w:uiPriority w:val="0"/>
    <w:pPr>
      <w:spacing w:before="240" w:after="60"/>
      <w:jc w:val="center"/>
      <w:outlineLvl w:val="0"/>
    </w:pPr>
    <w:rPr>
      <w:rFonts w:ascii="Cambria" w:hAnsi="Cambria"/>
      <w:b/>
      <w:bCs/>
      <w:sz w:val="32"/>
      <w:szCs w:val="32"/>
    </w:rPr>
  </w:style>
  <w:style w:type="paragraph" w:styleId="10">
    <w:name w:val="annotation subject"/>
    <w:basedOn w:val="3"/>
    <w:next w:val="3"/>
    <w:link w:val="20"/>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0"/>
    <w:rPr>
      <w:color w:val="0000FF" w:themeColor="hyperlink"/>
      <w:u w:val="single"/>
      <w14:textFill>
        <w14:solidFill>
          <w14:schemeClr w14:val="hlink"/>
        </w14:solidFill>
      </w14:textFill>
    </w:rPr>
  </w:style>
  <w:style w:type="character" w:styleId="15">
    <w:name w:val="annotation reference"/>
    <w:basedOn w:val="13"/>
    <w:semiHidden/>
    <w:unhideWhenUsed/>
    <w:qFormat/>
    <w:uiPriority w:val="0"/>
    <w:rPr>
      <w:sz w:val="21"/>
      <w:szCs w:val="21"/>
    </w:rPr>
  </w:style>
  <w:style w:type="character" w:customStyle="1" w:styleId="16">
    <w:name w:val="标题 字符"/>
    <w:link w:val="9"/>
    <w:qFormat/>
    <w:locked/>
    <w:uiPriority w:val="0"/>
    <w:rPr>
      <w:rFonts w:ascii="Cambria" w:hAnsi="Cambria" w:eastAsia="宋体"/>
      <w:b/>
      <w:bCs/>
      <w:kern w:val="2"/>
      <w:sz w:val="32"/>
      <w:szCs w:val="32"/>
      <w:lang w:val="en-US" w:eastAsia="zh-CN" w:bidi="ar-SA"/>
    </w:rPr>
  </w:style>
  <w:style w:type="paragraph" w:customStyle="1" w:styleId="17">
    <w:name w:val="p0"/>
    <w:basedOn w:val="1"/>
    <w:qFormat/>
    <w:uiPriority w:val="0"/>
    <w:pPr>
      <w:widowControl/>
    </w:pPr>
    <w:rPr>
      <w:rFonts w:ascii="Book Antiqua" w:hAnsi="Book Antiqua" w:cs="宋体"/>
      <w:kern w:val="0"/>
      <w:sz w:val="24"/>
      <w:szCs w:val="24"/>
    </w:rPr>
  </w:style>
  <w:style w:type="character" w:customStyle="1" w:styleId="18">
    <w:name w:val="未处理的提及1"/>
    <w:basedOn w:val="13"/>
    <w:semiHidden/>
    <w:unhideWhenUsed/>
    <w:qFormat/>
    <w:uiPriority w:val="99"/>
    <w:rPr>
      <w:color w:val="605E5C"/>
      <w:shd w:val="clear" w:color="auto" w:fill="E1DFDD"/>
    </w:rPr>
  </w:style>
  <w:style w:type="character" w:customStyle="1" w:styleId="19">
    <w:name w:val="批注文字 字符"/>
    <w:basedOn w:val="13"/>
    <w:link w:val="3"/>
    <w:semiHidden/>
    <w:qFormat/>
    <w:uiPriority w:val="0"/>
    <w:rPr>
      <w:kern w:val="2"/>
      <w:sz w:val="21"/>
    </w:rPr>
  </w:style>
  <w:style w:type="character" w:customStyle="1" w:styleId="20">
    <w:name w:val="批注主题 字符"/>
    <w:basedOn w:val="19"/>
    <w:link w:val="10"/>
    <w:semiHidden/>
    <w:qFormat/>
    <w:uiPriority w:val="0"/>
    <w:rPr>
      <w:b/>
      <w:bCs/>
      <w:kern w:val="2"/>
      <w:sz w:val="21"/>
    </w:rPr>
  </w:style>
  <w:style w:type="character" w:customStyle="1" w:styleId="21">
    <w:name w:val="批注框文本 字符"/>
    <w:basedOn w:val="13"/>
    <w:link w:val="5"/>
    <w:semiHidden/>
    <w:qFormat/>
    <w:uiPriority w:val="0"/>
    <w:rPr>
      <w:kern w:val="2"/>
      <w:sz w:val="18"/>
      <w:szCs w:val="18"/>
    </w:rPr>
  </w:style>
  <w:style w:type="paragraph" w:customStyle="1" w:styleId="22">
    <w:name w:val="修订1"/>
    <w:hidden/>
    <w:semiHidden/>
    <w:qFormat/>
    <w:uiPriority w:val="99"/>
    <w:rPr>
      <w:rFonts w:ascii="Times New Roman" w:hAnsi="Times New Roman" w:eastAsia="宋体" w:cs="Times New Roman"/>
      <w:kern w:val="2"/>
      <w:sz w:val="21"/>
      <w:lang w:val="en-US" w:eastAsia="zh-CN" w:bidi="ar-SA"/>
    </w:rPr>
  </w:style>
  <w:style w:type="paragraph" w:customStyle="1" w:styleId="23">
    <w:name w:val="修订2"/>
    <w:hidden/>
    <w:semiHidden/>
    <w:qFormat/>
    <w:uiPriority w:val="99"/>
    <w:rPr>
      <w:rFonts w:ascii="Times New Roman" w:hAnsi="Times New Roman" w:eastAsia="宋体" w:cs="Times New Roman"/>
      <w:kern w:val="2"/>
      <w:sz w:val="21"/>
      <w:lang w:val="en-US" w:eastAsia="zh-CN" w:bidi="ar-SA"/>
    </w:rPr>
  </w:style>
  <w:style w:type="paragraph" w:customStyle="1" w:styleId="24">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041E5-BFA7-4578-B1AF-A59BBE978CB2}">
  <ds:schemaRefs/>
</ds:datastoreItem>
</file>

<file path=docProps/app.xml><?xml version="1.0" encoding="utf-8"?>
<Properties xmlns="http://schemas.openxmlformats.org/officeDocument/2006/extended-properties" xmlns:vt="http://schemas.openxmlformats.org/officeDocument/2006/docPropsVTypes">
  <Template>Normal</Template>
  <Pages>2</Pages>
  <Words>166</Words>
  <Characters>950</Characters>
  <Lines>7</Lines>
  <Paragraphs>2</Paragraphs>
  <TotalTime>0</TotalTime>
  <ScaleCrop>false</ScaleCrop>
  <LinksUpToDate>false</LinksUpToDate>
  <CharactersWithSpaces>1114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2021-08-22T08:39:00Z</dcterms:created>
  <dc:creator>Tian</dc:creator>
  <cp:lastModifiedBy>453</cp:lastModifiedBy>
  <cp:lastPrinted>2411-12-31T15:59:00Z</cp:lastPrinted>
  <dcterms:modified xsi:type="dcterms:W3CDTF">2022-09-29T10:25:00Z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2E3891F2A3D04E81B13688C39507B8CA</vt:lpwstr>
  </property>
</Properties>
</file>